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4ABB1" w14:textId="77777777" w:rsidR="00C0274A" w:rsidRPr="001B6FC2" w:rsidRDefault="00C0274A" w:rsidP="00C0274A">
      <w:pPr>
        <w:rPr>
          <w:rFonts w:ascii="Proxima Nova Rg" w:eastAsia="Arial" w:hAnsi="Proxima Nova Rg"/>
          <w:bCs/>
          <w:color w:val="393F5F"/>
          <w:sz w:val="24"/>
          <w:szCs w:val="24"/>
          <w:u w:val="single"/>
        </w:rPr>
      </w:pPr>
    </w:p>
    <w:p w14:paraId="45CB837C" w14:textId="77777777" w:rsidR="00C0274A" w:rsidRPr="007C0F8B" w:rsidRDefault="00C0274A" w:rsidP="00C0274A">
      <w:pPr>
        <w:jc w:val="center"/>
        <w:rPr>
          <w:rFonts w:ascii="Proxima Nova Rg" w:eastAsia="Arial" w:hAnsi="Proxima Nova Rg"/>
          <w:bCs/>
          <w:sz w:val="36"/>
          <w:szCs w:val="36"/>
        </w:rPr>
      </w:pPr>
      <w:r w:rsidRPr="007C0F8B">
        <w:rPr>
          <w:rFonts w:ascii="Proxima Nova Rg" w:eastAsia="Times New Roman" w:hAnsi="Proxima Nova Rg"/>
          <w:b/>
          <w:noProof/>
          <w:sz w:val="22"/>
          <w:szCs w:val="22"/>
        </w:rPr>
        <mc:AlternateContent>
          <mc:Choice Requires="wps">
            <w:drawing>
              <wp:anchor distT="228600" distB="228600" distL="228600" distR="228600" simplePos="0" relativeHeight="251659264" behindDoc="0" locked="0" layoutInCell="1" allowOverlap="1" wp14:anchorId="6ADA6003" wp14:editId="56A254A4">
                <wp:simplePos x="0" y="0"/>
                <wp:positionH relativeFrom="margin">
                  <wp:posOffset>5250180</wp:posOffset>
                </wp:positionH>
                <wp:positionV relativeFrom="margin">
                  <wp:posOffset>-306705</wp:posOffset>
                </wp:positionV>
                <wp:extent cx="1252855" cy="558800"/>
                <wp:effectExtent l="0" t="0" r="23495" b="12700"/>
                <wp:wrapNone/>
                <wp:docPr id="296" name="Text Box 296"/>
                <wp:cNvGraphicFramePr/>
                <a:graphic xmlns:a="http://schemas.openxmlformats.org/drawingml/2006/main">
                  <a:graphicData uri="http://schemas.microsoft.com/office/word/2010/wordprocessingShape">
                    <wps:wsp>
                      <wps:cNvSpPr txBox="1"/>
                      <wps:spPr>
                        <a:xfrm>
                          <a:off x="0" y="0"/>
                          <a:ext cx="1252855" cy="558800"/>
                        </a:xfrm>
                        <a:prstGeom prst="rect">
                          <a:avLst/>
                        </a:prstGeom>
                        <a:gradFill flip="none" rotWithShape="1">
                          <a:gsLst>
                            <a:gs pos="0">
                              <a:srgbClr val="00CC00">
                                <a:shade val="30000"/>
                                <a:satMod val="115000"/>
                              </a:srgbClr>
                            </a:gs>
                            <a:gs pos="50000">
                              <a:srgbClr val="00CC00">
                                <a:shade val="67500"/>
                                <a:satMod val="115000"/>
                              </a:srgbClr>
                            </a:gs>
                            <a:gs pos="100000">
                              <a:srgbClr val="00CC00">
                                <a:shade val="100000"/>
                                <a:satMod val="115000"/>
                              </a:srgbClr>
                            </a:gs>
                          </a:gsLst>
                          <a:lin ang="0" scaled="1"/>
                          <a:tileRect/>
                        </a:gradFill>
                        <a:ln w="3175">
                          <a:solidFill>
                            <a:schemeClr val="tx1"/>
                          </a:solidFill>
                        </a:ln>
                        <a:effectLst/>
                      </wps:spPr>
                      <wps:style>
                        <a:lnRef idx="0">
                          <a:schemeClr val="accent1"/>
                        </a:lnRef>
                        <a:fillRef idx="1003">
                          <a:schemeClr val="lt2"/>
                        </a:fillRef>
                        <a:effectRef idx="0">
                          <a:schemeClr val="accent1"/>
                        </a:effectRef>
                        <a:fontRef idx="minor">
                          <a:schemeClr val="dk1"/>
                        </a:fontRef>
                      </wps:style>
                      <wps:txbx>
                        <w:txbxContent>
                          <w:p w14:paraId="24F33DA7" w14:textId="77777777" w:rsidR="00C0274A" w:rsidRDefault="00C0274A" w:rsidP="00C0274A">
                            <w:pPr>
                              <w:spacing w:line="276" w:lineRule="auto"/>
                              <w:jc w:val="center"/>
                              <w:rPr>
                                <w:rFonts w:ascii="Proxima Nova Rg" w:hAnsi="Proxima Nova Rg"/>
                                <w:color w:val="FFFFFF" w:themeColor="background1"/>
                                <w:sz w:val="28"/>
                                <w:szCs w:val="28"/>
                              </w:rPr>
                            </w:pPr>
                            <w:r>
                              <w:rPr>
                                <w:rFonts w:ascii="Proxima Nova Rg" w:hAnsi="Proxima Nova Rg"/>
                                <w:color w:val="FFFFFF" w:themeColor="background1"/>
                                <w:sz w:val="28"/>
                                <w:szCs w:val="28"/>
                              </w:rPr>
                              <w:t>TEACHER</w:t>
                            </w:r>
                          </w:p>
                          <w:p w14:paraId="2290F7FA" w14:textId="77777777" w:rsidR="00C0274A" w:rsidRPr="007A2D5C" w:rsidRDefault="00C0274A" w:rsidP="00C0274A">
                            <w:pPr>
                              <w:spacing w:line="276" w:lineRule="auto"/>
                              <w:jc w:val="center"/>
                              <w:rPr>
                                <w:rFonts w:ascii="Proxima Nova Rg" w:hAnsi="Proxima Nova Rg"/>
                                <w:color w:val="FFFFFF" w:themeColor="background1"/>
                                <w:sz w:val="28"/>
                                <w:szCs w:val="28"/>
                              </w:rPr>
                            </w:pPr>
                            <w:r>
                              <w:rPr>
                                <w:rFonts w:ascii="Proxima Nova Rg" w:hAnsi="Proxima Nova Rg"/>
                                <w:color w:val="FFFFFF" w:themeColor="background1"/>
                                <w:sz w:val="28"/>
                                <w:szCs w:val="28"/>
                              </w:rPr>
                              <w:t>GUIDE</w:t>
                            </w:r>
                          </w:p>
                          <w:p w14:paraId="2E85F029" w14:textId="77777777" w:rsidR="00C0274A" w:rsidRDefault="00C0274A" w:rsidP="00C0274A">
                            <w:pPr>
                              <w:pStyle w:val="NoSpacing"/>
                              <w:jc w:val="right"/>
                              <w:rPr>
                                <w:color w:val="44546A" w:themeColor="text2"/>
                                <w:sz w:val="18"/>
                                <w:szCs w:val="18"/>
                              </w:rPr>
                            </w:pP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DA6003" id="_x0000_t202" coordsize="21600,21600" o:spt="202" path="m,l,21600r21600,l21600,xe">
                <v:stroke joinstyle="miter"/>
                <v:path gradientshapeok="t" o:connecttype="rect"/>
              </v:shapetype>
              <v:shape id="Text Box 296" o:spid="_x0000_s1026" type="#_x0000_t202" style="position:absolute;left:0;text-align:left;margin-left:413.4pt;margin-top:-24.15pt;width:98.65pt;height:44pt;z-index:251659264;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" fillcolor="#007f00" strokecolor="black [3213]" strokeweight=".25pt">
                <v:fill color2="#00db00" rotate="t" angle="90" colors="0 #007f00;.5 #00b800;1 #00db00" focus="100%" type="gradient"/>
                <v:textbox inset="0,,0,0">
                  <w:txbxContent>
                    <w:p w14:paraId="24F33DA7" w14:textId="77777777" w:rsidR="00C0274A" w:rsidRDefault="00C0274A" w:rsidP="00C0274A">
                      <w:pPr>
                        <w:spacing w:line="276" w:lineRule="auto"/>
                        <w:jc w:val="center"/>
                        <w:rPr>
                          <w:rFonts w:ascii="Proxima Nova Rg" w:hAnsi="Proxima Nova Rg"/>
                          <w:color w:val="FFFFFF" w:themeColor="background1"/>
                          <w:sz w:val="28"/>
                          <w:szCs w:val="28"/>
                        </w:rPr>
                      </w:pPr>
                      <w:r>
                        <w:rPr>
                          <w:rFonts w:ascii="Proxima Nova Rg" w:hAnsi="Proxima Nova Rg"/>
                          <w:color w:val="FFFFFF" w:themeColor="background1"/>
                          <w:sz w:val="28"/>
                          <w:szCs w:val="28"/>
                        </w:rPr>
                        <w:t>TEACHER</w:t>
                      </w:r>
                    </w:p>
                    <w:p w14:paraId="2290F7FA" w14:textId="77777777" w:rsidR="00C0274A" w:rsidRPr="007A2D5C" w:rsidRDefault="00C0274A" w:rsidP="00C0274A">
                      <w:pPr>
                        <w:spacing w:line="276" w:lineRule="auto"/>
                        <w:jc w:val="center"/>
                        <w:rPr>
                          <w:rFonts w:ascii="Proxima Nova Rg" w:hAnsi="Proxima Nova Rg"/>
                          <w:color w:val="FFFFFF" w:themeColor="background1"/>
                          <w:sz w:val="28"/>
                          <w:szCs w:val="28"/>
                        </w:rPr>
                      </w:pPr>
                      <w:r>
                        <w:rPr>
                          <w:rFonts w:ascii="Proxima Nova Rg" w:hAnsi="Proxima Nova Rg"/>
                          <w:color w:val="FFFFFF" w:themeColor="background1"/>
                          <w:sz w:val="28"/>
                          <w:szCs w:val="28"/>
                        </w:rPr>
                        <w:t>GUIDE</w:t>
                      </w:r>
                    </w:p>
                    <w:p w14:paraId="2E85F029" w14:textId="77777777" w:rsidR="00C0274A" w:rsidRDefault="00C0274A" w:rsidP="00C0274A">
                      <w:pPr>
                        <w:pStyle w:val="NoSpacing"/>
                        <w:jc w:val="right"/>
                        <w:rPr>
                          <w:color w:val="44546A" w:themeColor="text2"/>
                          <w:sz w:val="18"/>
                          <w:szCs w:val="18"/>
                        </w:rPr>
                      </w:pPr>
                    </w:p>
                  </w:txbxContent>
                </v:textbox>
                <w10:wrap anchorx="margin" anchory="margin"/>
              </v:shape>
            </w:pict>
          </mc:Fallback>
        </mc:AlternateContent>
      </w:r>
      <w:r w:rsidRPr="007C0F8B">
        <w:rPr>
          <w:rFonts w:ascii="Proxima Nova Rg" w:eastAsia="Arial" w:hAnsi="Proxima Nova Rg"/>
          <w:bCs/>
          <w:sz w:val="36"/>
          <w:szCs w:val="36"/>
        </w:rPr>
        <w:t>Algae in A Bottle Teacher’s Guide</w:t>
      </w:r>
    </w:p>
    <w:p w14:paraId="2B801240" w14:textId="77777777" w:rsidR="00C0274A" w:rsidRPr="007C0F8B" w:rsidRDefault="00C0274A" w:rsidP="00C0274A">
      <w:pPr>
        <w:jc w:val="center"/>
        <w:rPr>
          <w:rFonts w:ascii="Proxima Nova Rg" w:eastAsia="Arial" w:hAnsi="Proxima Nova Rg"/>
          <w:bCs/>
          <w:sz w:val="36"/>
          <w:szCs w:val="36"/>
        </w:rPr>
      </w:pPr>
    </w:p>
    <w:p w14:paraId="6B48F1CC" w14:textId="77777777" w:rsidR="00C0274A" w:rsidRPr="007C0F8B" w:rsidRDefault="00C0274A" w:rsidP="00C0274A">
      <w:pPr>
        <w:rPr>
          <w:rFonts w:ascii="Proxima Nova Rg" w:eastAsia="Arial" w:hAnsi="Proxima Nova Rg"/>
          <w:bCs/>
          <w:sz w:val="24"/>
          <w:szCs w:val="24"/>
          <w:u w:val="single"/>
        </w:rPr>
      </w:pPr>
      <w:r w:rsidRPr="007C0F8B">
        <w:rPr>
          <w:rFonts w:ascii="Proxima Nova Rg" w:eastAsia="Arial" w:hAnsi="Proxima Nova Rg"/>
          <w:bCs/>
          <w:sz w:val="24"/>
          <w:szCs w:val="24"/>
          <w:u w:val="single"/>
        </w:rPr>
        <w:t>Timing Considerations</w:t>
      </w:r>
    </w:p>
    <w:p w14:paraId="68710310" w14:textId="77777777" w:rsidR="00C0274A" w:rsidRPr="007C0F8B" w:rsidRDefault="00C0274A" w:rsidP="00C0274A">
      <w:pPr>
        <w:pStyle w:val="font8"/>
        <w:spacing w:before="0" w:beforeAutospacing="0" w:after="0" w:afterAutospacing="0"/>
        <w:rPr>
          <w:rFonts w:ascii="Proxima Nova Rg" w:hAnsi="Proxima Nova Rg"/>
          <w:sz w:val="22"/>
          <w:szCs w:val="22"/>
        </w:rPr>
      </w:pPr>
      <w:r w:rsidRPr="007C0F8B">
        <w:rPr>
          <w:rFonts w:ascii="Proxima Nova Rg" w:hAnsi="Proxima Nova Rg"/>
          <w:sz w:val="22"/>
          <w:szCs w:val="22"/>
        </w:rPr>
        <w:t>This activity takes one day to set up, plus intermittent time for students to collect data, then time at the end to analyze the data and draw conclusions. Overall, the experiment takes about 2 weeks, but only one whole class period at the beginning, and one at the end.</w:t>
      </w:r>
    </w:p>
    <w:p w14:paraId="528F62A4" w14:textId="77777777" w:rsidR="00C0274A" w:rsidRPr="007C0F8B" w:rsidRDefault="00C0274A" w:rsidP="00C0274A">
      <w:pPr>
        <w:pStyle w:val="font8"/>
        <w:spacing w:before="0" w:beforeAutospacing="0" w:after="0" w:afterAutospacing="0"/>
        <w:rPr>
          <w:rFonts w:ascii="Proxima Nova Rg" w:hAnsi="Proxima Nova Rg"/>
          <w:sz w:val="22"/>
          <w:szCs w:val="22"/>
        </w:rPr>
      </w:pPr>
    </w:p>
    <w:p w14:paraId="61C801A5" w14:textId="77777777" w:rsidR="00C0274A" w:rsidRPr="007C0F8B" w:rsidRDefault="00C0274A" w:rsidP="00C0274A">
      <w:pPr>
        <w:pStyle w:val="font8"/>
        <w:spacing w:before="0" w:beforeAutospacing="0" w:after="0" w:afterAutospacing="0"/>
        <w:rPr>
          <w:rFonts w:ascii="Proxima Nova Rg" w:hAnsi="Proxima Nova Rg"/>
          <w:sz w:val="22"/>
          <w:szCs w:val="22"/>
        </w:rPr>
      </w:pPr>
      <w:r w:rsidRPr="007C0F8B">
        <w:rPr>
          <w:rFonts w:ascii="Proxima Nova Rg" w:hAnsi="Proxima Nova Rg"/>
          <w:sz w:val="22"/>
          <w:szCs w:val="22"/>
        </w:rPr>
        <w:t>There are few recommended options for timing:</w:t>
      </w:r>
    </w:p>
    <w:p w14:paraId="50F40F80" w14:textId="77777777" w:rsidR="00C0274A" w:rsidRPr="007C0F8B" w:rsidRDefault="00C0274A" w:rsidP="00C0274A">
      <w:pPr>
        <w:pStyle w:val="font8"/>
        <w:numPr>
          <w:ilvl w:val="0"/>
          <w:numId w:val="1"/>
        </w:numPr>
        <w:spacing w:before="0" w:beforeAutospacing="0" w:after="0" w:afterAutospacing="0"/>
        <w:rPr>
          <w:rFonts w:ascii="Proxima Nova Rg" w:hAnsi="Proxima Nova Rg"/>
          <w:sz w:val="22"/>
          <w:szCs w:val="22"/>
        </w:rPr>
      </w:pPr>
      <w:r w:rsidRPr="007C0F8B">
        <w:rPr>
          <w:rFonts w:ascii="Proxima Nova Rg" w:hAnsi="Proxima Nova Rg"/>
          <w:b/>
          <w:bCs/>
          <w:sz w:val="22"/>
          <w:szCs w:val="22"/>
        </w:rPr>
        <w:t>Option 1:</w:t>
      </w:r>
      <w:r w:rsidRPr="007C0F8B">
        <w:rPr>
          <w:rFonts w:ascii="Proxima Nova Rg" w:hAnsi="Proxima Nova Rg"/>
          <w:sz w:val="22"/>
          <w:szCs w:val="22"/>
        </w:rPr>
        <w:t xml:space="preserve"> Start the experiment right after Activity 1, and then check in with the results as time goes on. This has the benefit of helping students understand what they are setting up. However, students won’t get results until later in the module.</w:t>
      </w:r>
    </w:p>
    <w:p w14:paraId="3E03854E" w14:textId="77777777" w:rsidR="00C0274A" w:rsidRPr="007C0F8B" w:rsidRDefault="00C0274A" w:rsidP="00C0274A">
      <w:pPr>
        <w:pStyle w:val="font8"/>
        <w:numPr>
          <w:ilvl w:val="0"/>
          <w:numId w:val="1"/>
        </w:numPr>
        <w:spacing w:before="0" w:beforeAutospacing="0" w:after="0" w:afterAutospacing="0"/>
        <w:rPr>
          <w:rFonts w:ascii="Proxima Nova Rg" w:hAnsi="Proxima Nova Rg"/>
          <w:sz w:val="22"/>
          <w:szCs w:val="22"/>
        </w:rPr>
      </w:pPr>
      <w:r w:rsidRPr="007C0F8B">
        <w:rPr>
          <w:rFonts w:ascii="Proxima Nova Rg" w:hAnsi="Proxima Nova Rg"/>
          <w:b/>
          <w:bCs/>
          <w:sz w:val="22"/>
          <w:szCs w:val="22"/>
        </w:rPr>
        <w:t>Option 2:</w:t>
      </w:r>
      <w:r w:rsidRPr="007C0F8B">
        <w:rPr>
          <w:rFonts w:ascii="Proxima Nova Rg" w:hAnsi="Proxima Nova Rg"/>
          <w:sz w:val="22"/>
          <w:szCs w:val="22"/>
        </w:rPr>
        <w:t xml:space="preserve"> Start the experiment in advance of the module so they will be able to draw conclusions by the time you get to this Activity. This has the advantage of providing results earlier, but students won’t really understand why they are setting up the experiment.</w:t>
      </w:r>
    </w:p>
    <w:p w14:paraId="281DD914" w14:textId="77777777" w:rsidR="00C0274A" w:rsidRPr="007C0F8B" w:rsidRDefault="00C0274A" w:rsidP="00C0274A">
      <w:pPr>
        <w:pStyle w:val="font8"/>
        <w:numPr>
          <w:ilvl w:val="0"/>
          <w:numId w:val="1"/>
        </w:numPr>
        <w:spacing w:before="0" w:beforeAutospacing="0" w:after="0" w:afterAutospacing="0"/>
        <w:rPr>
          <w:rFonts w:ascii="Proxima Nova Rg" w:eastAsia="Arial" w:hAnsi="Proxima Nova Rg"/>
          <w:bCs/>
          <w:u w:val="single"/>
        </w:rPr>
      </w:pPr>
      <w:r w:rsidRPr="007C0F8B">
        <w:rPr>
          <w:rFonts w:ascii="Proxima Nova Rg" w:hAnsi="Proxima Nova Rg"/>
          <w:b/>
          <w:bCs/>
          <w:sz w:val="22"/>
          <w:szCs w:val="22"/>
        </w:rPr>
        <w:t>Option 3:</w:t>
      </w:r>
      <w:r w:rsidRPr="007C0F8B">
        <w:rPr>
          <w:rFonts w:ascii="Proxima Nova Rg" w:hAnsi="Proxima Nova Rg"/>
          <w:sz w:val="22"/>
          <w:szCs w:val="22"/>
        </w:rPr>
        <w:t xml:space="preserve"> Start one set of algae bottles in advance so that students can see the results earlier, then have them start their own experiments during the module. This way students can see results earlier, and also know why they are setting up the experiment. The downside to this is that students will know what happens in the experiment before their own bottles are done.</w:t>
      </w:r>
    </w:p>
    <w:p w14:paraId="1C1DA2A5" w14:textId="77777777" w:rsidR="00C0274A" w:rsidRPr="007C0F8B" w:rsidRDefault="00C0274A" w:rsidP="00C0274A">
      <w:pPr>
        <w:pStyle w:val="font8"/>
        <w:spacing w:before="0" w:beforeAutospacing="0" w:after="0" w:afterAutospacing="0"/>
        <w:rPr>
          <w:rFonts w:ascii="Proxima Nova Rg" w:hAnsi="Proxima Nova Rg"/>
          <w:sz w:val="22"/>
          <w:szCs w:val="22"/>
        </w:rPr>
      </w:pPr>
    </w:p>
    <w:p w14:paraId="37F54745" w14:textId="77777777" w:rsidR="00C0274A" w:rsidRPr="007C0F8B" w:rsidRDefault="00C0274A" w:rsidP="00C0274A">
      <w:pPr>
        <w:pStyle w:val="font8"/>
        <w:spacing w:before="0" w:beforeAutospacing="0" w:after="0" w:afterAutospacing="0"/>
        <w:rPr>
          <w:rFonts w:ascii="Proxima Nova Rg" w:hAnsi="Proxima Nova Rg"/>
          <w:sz w:val="22"/>
          <w:szCs w:val="22"/>
        </w:rPr>
      </w:pPr>
      <w:r w:rsidRPr="007C0F8B">
        <w:rPr>
          <w:rFonts w:ascii="Proxima Nova Rg" w:hAnsi="Proxima Nova Rg"/>
          <w:sz w:val="22"/>
          <w:szCs w:val="22"/>
        </w:rPr>
        <w:t>All three options have benefits and drawbacks. Choose the option that works best for you and your students.</w:t>
      </w:r>
    </w:p>
    <w:p w14:paraId="57BBE5CD" w14:textId="77777777" w:rsidR="00C0274A" w:rsidRPr="007C0F8B" w:rsidRDefault="00C0274A" w:rsidP="00C0274A">
      <w:pPr>
        <w:pStyle w:val="font8"/>
        <w:spacing w:before="0" w:beforeAutospacing="0" w:after="0" w:afterAutospacing="0"/>
        <w:rPr>
          <w:rFonts w:ascii="Proxima Nova Rg" w:hAnsi="Proxima Nova Rg"/>
          <w:sz w:val="22"/>
          <w:szCs w:val="22"/>
        </w:rPr>
      </w:pPr>
    </w:p>
    <w:p w14:paraId="5E6BCB1A" w14:textId="77777777" w:rsidR="00C0274A" w:rsidRPr="007C0F8B" w:rsidRDefault="00C0274A" w:rsidP="00C0274A">
      <w:pPr>
        <w:pStyle w:val="font8"/>
        <w:spacing w:before="0" w:beforeAutospacing="0" w:after="0" w:afterAutospacing="0"/>
        <w:rPr>
          <w:rFonts w:ascii="Proxima Nova Rg" w:hAnsi="Proxima Nova Rg"/>
          <w:sz w:val="22"/>
          <w:szCs w:val="22"/>
        </w:rPr>
      </w:pPr>
      <w:r w:rsidRPr="007C0F8B">
        <w:rPr>
          <w:rFonts w:ascii="Proxima Nova Rg" w:hAnsi="Proxima Nova Rg"/>
          <w:sz w:val="22"/>
          <w:szCs w:val="22"/>
          <w:u w:val="single"/>
        </w:rPr>
        <w:t>Materials</w:t>
      </w:r>
    </w:p>
    <w:p w14:paraId="685B9848" w14:textId="77777777" w:rsidR="00C0274A" w:rsidRPr="007C0F8B" w:rsidRDefault="00C0274A" w:rsidP="00C0274A">
      <w:pPr>
        <w:pStyle w:val="font8"/>
        <w:spacing w:before="0" w:beforeAutospacing="0" w:after="0" w:afterAutospacing="0"/>
        <w:rPr>
          <w:rFonts w:ascii="Proxima Nova Rg" w:hAnsi="Proxima Nova Rg" w:cstheme="minorHAnsi"/>
          <w:sz w:val="22"/>
          <w:szCs w:val="22"/>
        </w:rPr>
      </w:pPr>
      <w:r w:rsidRPr="007C0F8B">
        <w:rPr>
          <w:rFonts w:ascii="Proxima Nova Rg" w:hAnsi="Proxima Nova Rg" w:cstheme="minorHAnsi"/>
          <w:b/>
          <w:bCs/>
          <w:sz w:val="22"/>
          <w:szCs w:val="22"/>
        </w:rPr>
        <w:t>Bottles:</w:t>
      </w:r>
      <w:r w:rsidRPr="007C0F8B">
        <w:rPr>
          <w:rFonts w:ascii="Proxima Nova Rg" w:hAnsi="Proxima Nova Rg" w:cstheme="minorHAnsi"/>
          <w:sz w:val="22"/>
          <w:szCs w:val="22"/>
        </w:rPr>
        <w:t xml:space="preserve"> The experiment calls for 4 bottles or jars per group of students. The bottles should ideally be the same within a group, but they can be different for different groups. Consider having students bring in bottles or jars from home to use. If absolutely necessary, you can buy packs of water and use the bottles. The amounts for this experiment are based on 500ml bottles.</w:t>
      </w:r>
    </w:p>
    <w:p w14:paraId="1CEDFB51" w14:textId="77777777" w:rsidR="00C0274A" w:rsidRPr="007C0F8B" w:rsidRDefault="00C0274A" w:rsidP="00C0274A">
      <w:pPr>
        <w:pStyle w:val="font8"/>
        <w:spacing w:before="0" w:beforeAutospacing="0" w:after="0" w:afterAutospacing="0"/>
        <w:rPr>
          <w:rFonts w:ascii="Proxima Nova Rg" w:hAnsi="Proxima Nova Rg" w:cstheme="minorHAnsi"/>
          <w:sz w:val="22"/>
          <w:szCs w:val="22"/>
        </w:rPr>
      </w:pPr>
    </w:p>
    <w:p w14:paraId="70CF213F" w14:textId="77777777" w:rsidR="00C0274A" w:rsidRPr="001B6FC2" w:rsidRDefault="00C0274A" w:rsidP="00C0274A">
      <w:pPr>
        <w:pStyle w:val="font8"/>
        <w:spacing w:before="0" w:beforeAutospacing="0" w:after="0" w:afterAutospacing="0"/>
        <w:rPr>
          <w:rFonts w:ascii="Proxima Nova Rg" w:hAnsi="Proxima Nova Rg" w:cstheme="minorHAnsi"/>
          <w:sz w:val="22"/>
          <w:szCs w:val="22"/>
        </w:rPr>
      </w:pPr>
      <w:r w:rsidRPr="007C0F8B">
        <w:rPr>
          <w:rFonts w:ascii="Proxima Nova Rg" w:hAnsi="Proxima Nova Rg" w:cstheme="minorHAnsi"/>
          <w:b/>
          <w:bCs/>
          <w:sz w:val="22"/>
          <w:szCs w:val="22"/>
        </w:rPr>
        <w:t xml:space="preserve">Fertilizers: </w:t>
      </w:r>
      <w:r w:rsidRPr="007C0F8B">
        <w:rPr>
          <w:rFonts w:ascii="Proxima Nova Rg" w:hAnsi="Proxima Nova Rg" w:cstheme="minorHAnsi"/>
          <w:sz w:val="22"/>
          <w:szCs w:val="22"/>
        </w:rPr>
        <w:t xml:space="preserve">The experiment calls for high nitrate </w:t>
      </w:r>
      <w:r w:rsidRPr="001B6FC2">
        <w:rPr>
          <w:rFonts w:ascii="Proxima Nova Rg" w:hAnsi="Proxima Nova Rg" w:cstheme="minorHAnsi"/>
          <w:sz w:val="22"/>
          <w:szCs w:val="22"/>
        </w:rPr>
        <w:t xml:space="preserve">and high phosphate fertilizers. You can find a variety of different fertilizers at local garden stores and online. For example, Amazon sells the two fertilizers below. You may be able to get a local garden store to donate them. Look for fertilizers that only have one of the two ingredients (nitrate or phosphate) to make the results </w:t>
      </w:r>
      <w:proofErr w:type="gramStart"/>
      <w:r w:rsidRPr="001B6FC2">
        <w:rPr>
          <w:rFonts w:ascii="Proxima Nova Rg" w:hAnsi="Proxima Nova Rg" w:cstheme="minorHAnsi"/>
          <w:sz w:val="22"/>
          <w:szCs w:val="22"/>
        </w:rPr>
        <w:t>more clear</w:t>
      </w:r>
      <w:proofErr w:type="gramEnd"/>
      <w:r w:rsidRPr="001B6FC2">
        <w:rPr>
          <w:rFonts w:ascii="Proxima Nova Rg" w:hAnsi="Proxima Nova Rg" w:cstheme="minorHAnsi"/>
          <w:sz w:val="22"/>
          <w:szCs w:val="22"/>
        </w:rPr>
        <w:t>.</w:t>
      </w:r>
    </w:p>
    <w:p w14:paraId="553B7163" w14:textId="77777777" w:rsidR="00C0274A" w:rsidRPr="001B6FC2" w:rsidRDefault="00C0274A" w:rsidP="00C0274A">
      <w:pPr>
        <w:pStyle w:val="font8"/>
        <w:numPr>
          <w:ilvl w:val="0"/>
          <w:numId w:val="2"/>
        </w:numPr>
        <w:spacing w:before="0" w:beforeAutospacing="0" w:after="0" w:afterAutospacing="0"/>
        <w:rPr>
          <w:rFonts w:ascii="Proxima Nova Rg" w:hAnsi="Proxima Nova Rg" w:cstheme="minorHAnsi"/>
          <w:sz w:val="22"/>
          <w:szCs w:val="22"/>
        </w:rPr>
      </w:pPr>
      <w:r w:rsidRPr="001B6FC2">
        <w:rPr>
          <w:rFonts w:ascii="Proxima Nova Rg" w:hAnsi="Proxima Nova Rg" w:cstheme="minorHAnsi"/>
          <w:sz w:val="22"/>
          <w:szCs w:val="22"/>
        </w:rPr>
        <w:t xml:space="preserve">Nitrogen fertilizer: Easy </w:t>
      </w:r>
      <w:proofErr w:type="spellStart"/>
      <w:r w:rsidRPr="001B6FC2">
        <w:rPr>
          <w:rFonts w:ascii="Proxima Nova Rg" w:hAnsi="Proxima Nova Rg" w:cstheme="minorHAnsi"/>
          <w:sz w:val="22"/>
          <w:szCs w:val="22"/>
        </w:rPr>
        <w:t>Peasy</w:t>
      </w:r>
      <w:proofErr w:type="spellEnd"/>
      <w:r w:rsidRPr="001B6FC2">
        <w:rPr>
          <w:rFonts w:ascii="Proxima Nova Rg" w:hAnsi="Proxima Nova Rg" w:cstheme="minorHAnsi"/>
          <w:sz w:val="22"/>
          <w:szCs w:val="22"/>
        </w:rPr>
        <w:t xml:space="preserve"> Plants Urea Nitrogen Fertilizer</w:t>
      </w:r>
    </w:p>
    <w:p w14:paraId="6479B469" w14:textId="77777777" w:rsidR="00C0274A" w:rsidRDefault="00C0274A" w:rsidP="00C0274A">
      <w:pPr>
        <w:pStyle w:val="font8"/>
        <w:numPr>
          <w:ilvl w:val="0"/>
          <w:numId w:val="2"/>
        </w:numPr>
        <w:spacing w:before="0" w:beforeAutospacing="0" w:after="0" w:afterAutospacing="0"/>
      </w:pPr>
      <w:r w:rsidRPr="001B6FC2">
        <w:rPr>
          <w:rFonts w:ascii="Proxima Nova Rg" w:hAnsi="Proxima Nova Rg" w:cstheme="minorHAnsi"/>
          <w:sz w:val="22"/>
          <w:szCs w:val="22"/>
        </w:rPr>
        <w:t xml:space="preserve">Phosphorus fertilizer: Easy </w:t>
      </w:r>
      <w:proofErr w:type="spellStart"/>
      <w:r w:rsidRPr="001B6FC2">
        <w:rPr>
          <w:rFonts w:ascii="Proxima Nova Rg" w:hAnsi="Proxima Nova Rg" w:cstheme="minorHAnsi"/>
          <w:sz w:val="22"/>
          <w:szCs w:val="22"/>
        </w:rPr>
        <w:t>Peasy</w:t>
      </w:r>
      <w:proofErr w:type="spellEnd"/>
      <w:r w:rsidRPr="001B6FC2">
        <w:rPr>
          <w:rFonts w:ascii="Proxima Nova Rg" w:hAnsi="Proxima Nova Rg" w:cstheme="minorHAnsi"/>
          <w:sz w:val="22"/>
          <w:szCs w:val="22"/>
        </w:rPr>
        <w:t xml:space="preserve"> Plants Triple Super Phosphate</w:t>
      </w:r>
    </w:p>
    <w:p w14:paraId="2C0B0AFE" w14:textId="77777777" w:rsidR="00C0274A" w:rsidRPr="001B6FC2" w:rsidRDefault="00C0274A" w:rsidP="00C0274A">
      <w:pPr>
        <w:pStyle w:val="font8"/>
        <w:spacing w:before="0" w:beforeAutospacing="0" w:after="0" w:afterAutospacing="0"/>
        <w:rPr>
          <w:rFonts w:ascii="Proxima Nova Rg" w:hAnsi="Proxima Nova Rg"/>
          <w:sz w:val="22"/>
          <w:szCs w:val="22"/>
        </w:rPr>
      </w:pPr>
    </w:p>
    <w:p w14:paraId="3EB18CDD" w14:textId="77777777" w:rsidR="00C0274A" w:rsidRPr="001B6FC2" w:rsidRDefault="00C0274A" w:rsidP="00C0274A">
      <w:pPr>
        <w:pStyle w:val="font8"/>
        <w:spacing w:before="0" w:beforeAutospacing="0" w:after="0" w:afterAutospacing="0"/>
        <w:rPr>
          <w:rFonts w:ascii="Proxima Nova Rg" w:hAnsi="Proxima Nova Rg" w:cstheme="minorHAnsi"/>
          <w:sz w:val="22"/>
          <w:szCs w:val="22"/>
        </w:rPr>
      </w:pPr>
      <w:r w:rsidRPr="001B6FC2">
        <w:rPr>
          <w:rFonts w:ascii="Proxima Nova Rg" w:hAnsi="Proxima Nova Rg"/>
          <w:b/>
          <w:bCs/>
          <w:sz w:val="22"/>
          <w:szCs w:val="22"/>
        </w:rPr>
        <w:t xml:space="preserve">Water: </w:t>
      </w:r>
      <w:r w:rsidRPr="001B6FC2">
        <w:rPr>
          <w:rFonts w:ascii="Proxima Nova Rg" w:hAnsi="Proxima Nova Rg" w:cstheme="minorHAnsi"/>
          <w:sz w:val="22"/>
          <w:szCs w:val="22"/>
        </w:rPr>
        <w:t>If you have nearby access to a pond or slow-moving stream that likely has algae in it, this is the easiest source. If you don’t have access to either of these, you can likely get aquarium water from a local pet store that sells fish. You can also order blue-green algae from science suppliers such as Carolina. Make sure to get enough water for all your student groups.</w:t>
      </w:r>
    </w:p>
    <w:p w14:paraId="3C75C4EA" w14:textId="77777777" w:rsidR="00C0274A" w:rsidRPr="001B6FC2" w:rsidRDefault="00C0274A" w:rsidP="00C0274A">
      <w:pPr>
        <w:pStyle w:val="font8"/>
        <w:spacing w:before="0" w:beforeAutospacing="0" w:after="0" w:afterAutospacing="0"/>
        <w:rPr>
          <w:rFonts w:ascii="Proxima Nova Rg" w:hAnsi="Proxima Nova Rg" w:cstheme="minorHAnsi"/>
          <w:sz w:val="22"/>
          <w:szCs w:val="22"/>
        </w:rPr>
      </w:pPr>
    </w:p>
    <w:p w14:paraId="0D101B8E" w14:textId="77777777" w:rsidR="00C0274A" w:rsidRPr="001B6FC2" w:rsidRDefault="00C0274A" w:rsidP="00C0274A">
      <w:pPr>
        <w:pStyle w:val="font8"/>
        <w:spacing w:before="0" w:beforeAutospacing="0" w:after="0" w:afterAutospacing="0"/>
        <w:rPr>
          <w:rFonts w:ascii="Proxima Nova Rg" w:hAnsi="Proxima Nova Rg" w:cstheme="minorHAnsi"/>
          <w:sz w:val="22"/>
          <w:szCs w:val="22"/>
        </w:rPr>
      </w:pPr>
      <w:r w:rsidRPr="001B6FC2">
        <w:rPr>
          <w:rFonts w:ascii="Proxima Nova Rg" w:hAnsi="Proxima Nova Rg" w:cstheme="minorHAnsi"/>
          <w:b/>
          <w:bCs/>
          <w:sz w:val="22"/>
          <w:szCs w:val="22"/>
        </w:rPr>
        <w:t xml:space="preserve">Dissolved oxygen test kit: </w:t>
      </w:r>
      <w:r w:rsidRPr="001B6FC2">
        <w:rPr>
          <w:rFonts w:ascii="Proxima Nova Rg" w:hAnsi="Proxima Nova Rg" w:cstheme="minorHAnsi"/>
          <w:sz w:val="22"/>
          <w:szCs w:val="22"/>
        </w:rPr>
        <w:t>There are a variety of commercially available dissolved oxygen test kits that vary by price, accuracy, and ease of use. Generally speaking, the more accurate kits are more expensive, though not necessarily more difficult to use. Below are two suggested kits:</w:t>
      </w:r>
    </w:p>
    <w:p w14:paraId="3DFDC232" w14:textId="77777777" w:rsidR="00C0274A" w:rsidRPr="001B6FC2" w:rsidRDefault="00C0274A" w:rsidP="00C0274A">
      <w:pPr>
        <w:pStyle w:val="font8"/>
        <w:numPr>
          <w:ilvl w:val="0"/>
          <w:numId w:val="3"/>
        </w:numPr>
        <w:spacing w:before="0" w:beforeAutospacing="0" w:after="0" w:afterAutospacing="0"/>
        <w:rPr>
          <w:rFonts w:ascii="Proxima Nova Rg" w:hAnsi="Proxima Nova Rg"/>
          <w:sz w:val="22"/>
          <w:szCs w:val="22"/>
        </w:rPr>
      </w:pPr>
      <w:proofErr w:type="spellStart"/>
      <w:r w:rsidRPr="001B6FC2">
        <w:rPr>
          <w:rFonts w:ascii="Proxima Nova Rg" w:hAnsi="Proxima Nova Rg"/>
          <w:sz w:val="22"/>
          <w:szCs w:val="22"/>
        </w:rPr>
        <w:t>Salifert</w:t>
      </w:r>
      <w:proofErr w:type="spellEnd"/>
      <w:r w:rsidRPr="001B6FC2">
        <w:rPr>
          <w:rFonts w:ascii="Proxima Nova Rg" w:hAnsi="Proxima Nova Rg"/>
          <w:sz w:val="22"/>
          <w:szCs w:val="22"/>
        </w:rPr>
        <w:t xml:space="preserve"> </w:t>
      </w:r>
      <w:hyperlink r:id="rId5" w:history="1">
        <w:r w:rsidRPr="001B6FC2">
          <w:rPr>
            <w:rStyle w:val="Hyperlink"/>
            <w:rFonts w:ascii="Proxima Nova Rg" w:hAnsi="Proxima Nova Rg"/>
            <w:sz w:val="22"/>
            <w:szCs w:val="22"/>
          </w:rPr>
          <w:t>Dissolved Oxygen Test Kit</w:t>
        </w:r>
      </w:hyperlink>
      <w:r w:rsidRPr="001B6FC2">
        <w:rPr>
          <w:rFonts w:ascii="Proxima Nova Rg" w:hAnsi="Proxima Nova Rg"/>
          <w:sz w:val="22"/>
          <w:szCs w:val="22"/>
        </w:rPr>
        <w:t xml:space="preserve"> (less accurate, relatively easy, inexpensive) </w:t>
      </w:r>
    </w:p>
    <w:p w14:paraId="375494EB" w14:textId="3F4BF93E" w:rsidR="00C0274A" w:rsidRPr="00C0274A" w:rsidRDefault="00C0274A" w:rsidP="00C0274A">
      <w:pPr>
        <w:pStyle w:val="font8"/>
        <w:numPr>
          <w:ilvl w:val="0"/>
          <w:numId w:val="3"/>
        </w:numPr>
        <w:spacing w:before="0" w:beforeAutospacing="0" w:after="0" w:afterAutospacing="0"/>
        <w:rPr>
          <w:rFonts w:ascii="Proxima Nova Rg" w:hAnsi="Proxima Nova Rg"/>
          <w:b/>
          <w:bCs/>
          <w:sz w:val="28"/>
          <w:szCs w:val="28"/>
        </w:rPr>
        <w:sectPr w:rsidR="00C0274A" w:rsidRPr="00C0274A" w:rsidSect="00C0274A">
          <w:headerReference w:type="default" r:id="rId6"/>
          <w:pgSz w:w="12240" w:h="15840"/>
          <w:pgMar w:top="993" w:right="1000" w:bottom="1170" w:left="1440" w:header="0" w:footer="750" w:gutter="0"/>
          <w:cols w:space="0" w:equalWidth="0">
            <w:col w:w="9800"/>
          </w:cols>
          <w:docGrid w:linePitch="360"/>
        </w:sectPr>
      </w:pPr>
      <w:proofErr w:type="spellStart"/>
      <w:r w:rsidRPr="001B6FC2">
        <w:rPr>
          <w:rFonts w:ascii="Proxima Nova Rg" w:hAnsi="Proxima Nova Rg"/>
          <w:sz w:val="22"/>
          <w:szCs w:val="22"/>
        </w:rPr>
        <w:t>CHEMets</w:t>
      </w:r>
      <w:proofErr w:type="spellEnd"/>
      <w:r w:rsidRPr="001B6FC2">
        <w:rPr>
          <w:rFonts w:ascii="Proxima Nova Rg" w:hAnsi="Proxima Nova Rg"/>
          <w:sz w:val="22"/>
          <w:szCs w:val="22"/>
        </w:rPr>
        <w:t xml:space="preserve"> </w:t>
      </w:r>
      <w:hyperlink r:id="rId7" w:history="1">
        <w:r w:rsidRPr="001B6FC2">
          <w:rPr>
            <w:rStyle w:val="Hyperlink"/>
            <w:rFonts w:ascii="Proxima Nova Rg" w:hAnsi="Proxima Nova Rg"/>
            <w:sz w:val="22"/>
            <w:szCs w:val="22"/>
          </w:rPr>
          <w:t>Dissolved Oxygen Visual Kit</w:t>
        </w:r>
      </w:hyperlink>
      <w:r w:rsidRPr="001B6FC2">
        <w:rPr>
          <w:rFonts w:ascii="Proxima Nova Rg" w:hAnsi="Proxima Nova Rg"/>
          <w:sz w:val="22"/>
          <w:szCs w:val="22"/>
        </w:rPr>
        <w:t xml:space="preserve"> (accurate, very easy, more expensive) – </w:t>
      </w:r>
      <w:hyperlink r:id="rId8" w:history="1">
        <w:r w:rsidRPr="001B6FC2">
          <w:rPr>
            <w:rStyle w:val="Hyperlink"/>
            <w:rFonts w:ascii="Proxima Nova Rg" w:hAnsi="Proxima Nova Rg"/>
            <w:sz w:val="22"/>
            <w:szCs w:val="22"/>
          </w:rPr>
          <w:t>refill kits are less expensive</w:t>
        </w:r>
      </w:hyperlink>
    </w:p>
    <w:p w14:paraId="7E0243A8" w14:textId="77777777" w:rsidR="00C0274A" w:rsidRDefault="00C0274A" w:rsidP="00C0274A"/>
    <w:sectPr w:rsidR="00C0274A" w:rsidSect="00C0274A">
      <w:headerReference w:type="default" r:id="rId9"/>
      <w:type w:val="continuous"/>
      <w:pgSz w:w="12240" w:h="15840"/>
      <w:pgMar w:top="993" w:right="1000" w:bottom="1170" w:left="1440" w:header="0" w:footer="750" w:gutter="0"/>
      <w:cols w:space="0" w:equalWidth="0">
        <w:col w:w="98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Rg">
    <w:panose1 w:val="02000506030000020004"/>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5F3AB" w14:textId="77777777" w:rsidR="00DF3BDD" w:rsidRDefault="00C027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0819B" w14:textId="77777777" w:rsidR="00DF3BDD" w:rsidRDefault="00C027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45DDC"/>
    <w:multiLevelType w:val="hybridMultilevel"/>
    <w:tmpl w:val="140EC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3E0AB3"/>
    <w:multiLevelType w:val="hybridMultilevel"/>
    <w:tmpl w:val="3F70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8232F2"/>
    <w:multiLevelType w:val="hybridMultilevel"/>
    <w:tmpl w:val="4DC29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74A"/>
    <w:rsid w:val="00C02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BAEDA"/>
  <w15:chartTrackingRefBased/>
  <w15:docId w15:val="{2C200D1F-4799-4A58-BFDC-F3A0B4B05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TA Normal"/>
    <w:qFormat/>
    <w:rsid w:val="00C0274A"/>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74A"/>
    <w:pPr>
      <w:tabs>
        <w:tab w:val="center" w:pos="4680"/>
        <w:tab w:val="right" w:pos="9360"/>
      </w:tabs>
    </w:pPr>
  </w:style>
  <w:style w:type="character" w:customStyle="1" w:styleId="HeaderChar">
    <w:name w:val="Header Char"/>
    <w:basedOn w:val="DefaultParagraphFont"/>
    <w:link w:val="Header"/>
    <w:uiPriority w:val="99"/>
    <w:rsid w:val="00C0274A"/>
    <w:rPr>
      <w:rFonts w:ascii="Calibri" w:eastAsia="Calibri" w:hAnsi="Calibri" w:cs="Arial"/>
      <w:sz w:val="20"/>
      <w:szCs w:val="20"/>
    </w:rPr>
  </w:style>
  <w:style w:type="paragraph" w:customStyle="1" w:styleId="font8">
    <w:name w:val="font_8"/>
    <w:basedOn w:val="Normal"/>
    <w:rsid w:val="00C0274A"/>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274A"/>
    <w:rPr>
      <w:color w:val="0563C1" w:themeColor="hyperlink"/>
      <w:u w:val="single"/>
    </w:rPr>
  </w:style>
  <w:style w:type="paragraph" w:styleId="NoSpacing">
    <w:name w:val="No Spacing"/>
    <w:link w:val="NoSpacingChar"/>
    <w:uiPriority w:val="1"/>
    <w:qFormat/>
    <w:rsid w:val="00C0274A"/>
    <w:pPr>
      <w:spacing w:after="0" w:line="240" w:lineRule="auto"/>
    </w:pPr>
    <w:rPr>
      <w:rFonts w:eastAsiaTheme="minorEastAsia"/>
    </w:rPr>
  </w:style>
  <w:style w:type="character" w:customStyle="1" w:styleId="NoSpacingChar">
    <w:name w:val="No Spacing Char"/>
    <w:basedOn w:val="DefaultParagraphFont"/>
    <w:link w:val="NoSpacing"/>
    <w:uiPriority w:val="1"/>
    <w:rsid w:val="00C0274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metrics.com/product/oxygen-dissolved-chemets-refill-r-7512/" TargetMode="External"/><Relationship Id="rId3" Type="http://schemas.openxmlformats.org/officeDocument/2006/relationships/settings" Target="settings.xml"/><Relationship Id="rId7" Type="http://schemas.openxmlformats.org/officeDocument/2006/relationships/hyperlink" Target="https://www.chemetrics.com/product/oxygen-dissolved-chemets-visual-k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https://www.marinedepot.com/salifert-dissolved-oxygen-test-k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507</Words>
  <Characters>2891</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Yarmchuk</dc:creator>
  <cp:keywords/>
  <dc:description/>
  <cp:lastModifiedBy>David Yarmchuk</cp:lastModifiedBy>
  <cp:revision>1</cp:revision>
  <dcterms:created xsi:type="dcterms:W3CDTF">2020-09-20T21:06:00Z</dcterms:created>
  <dcterms:modified xsi:type="dcterms:W3CDTF">2020-09-20T21:07:00Z</dcterms:modified>
</cp:coreProperties>
</file>